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附件：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444444"/>
          <w:spacing w:val="8"/>
          <w:sz w:val="31"/>
          <w:szCs w:val="31"/>
          <w:shd w:val="clear" w:fill="FFFFFF"/>
        </w:rPr>
        <w:t>《知识产权承诺书》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43"/>
          <w:szCs w:val="43"/>
          <w:shd w:val="clear" w:fill="FFFFFF"/>
        </w:rPr>
        <w:t>知识产权承诺书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一、应征人要遵循中华人民共和国专利法中相关条款。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二、应征人对所提供的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琼台香业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LOGO设计方案、资料、图纸、背景文件的真实性负责，并对其承担法律责任。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三、投稿方案必须为未公开发表的原创作品，如涉及抄袭、侵权等行为均由应征人承担责任。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5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 w:firstLine="4144" w:firstLineChars="14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承诺人签字（盖章）：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 w:firstLine="4144" w:firstLineChars="14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/>
        <w:jc w:val="righ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年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2451"/>
    <w:rsid w:val="14A42451"/>
    <w:rsid w:val="2481102A"/>
    <w:rsid w:val="548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2020-10-11T04:09:00Z</dcterms:created>
  <dc:creator>Admin</dc:creator>
  <cp:lastModifiedBy>Admin</cp:lastModifiedBy>
  <dcterms:modified xsi:type="dcterms:W3CDTF">2020-11-06T08:58:47Z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